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val="en-US" w:eastAsia="zh-CN"/>
        </w:rPr>
        <w:t>电容补偿柜设备更换</w:t>
      </w:r>
      <w:r>
        <w:rPr>
          <w:rFonts w:hint="eastAsia" w:asciiTheme="majorEastAsia" w:hAnsiTheme="majorEastAsia" w:eastAsiaTheme="majorEastAsia" w:cstheme="majorEastAsia"/>
          <w:b/>
          <w:sz w:val="44"/>
          <w:szCs w:val="44"/>
        </w:rPr>
        <w:t>项目采购合同（模板）</w:t>
      </w:r>
    </w:p>
    <w:p>
      <w:pPr>
        <w:spacing w:after="0" w:line="560" w:lineRule="exact"/>
        <w:rPr>
          <w:rFonts w:ascii="仿宋_GB2312" w:hAnsi="宋体" w:eastAsia="仿宋_GB2312"/>
          <w:sz w:val="28"/>
          <w:szCs w:val="28"/>
        </w:rPr>
      </w:pPr>
      <w:r>
        <w:rPr>
          <w:rFonts w:hint="eastAsia" w:ascii="仿宋_GB2312" w:hAnsi="宋体" w:eastAsia="仿宋_GB2312"/>
          <w:sz w:val="28"/>
          <w:szCs w:val="28"/>
        </w:rPr>
        <w:t>合同编号：</w:t>
      </w:r>
    </w:p>
    <w:p>
      <w:pPr>
        <w:spacing w:after="0" w:line="560" w:lineRule="exact"/>
        <w:rPr>
          <w:rFonts w:ascii="仿宋_GB2312" w:hAnsi="宋体" w:eastAsia="仿宋_GB2312"/>
          <w:sz w:val="28"/>
          <w:szCs w:val="28"/>
        </w:rPr>
      </w:pPr>
      <w:r>
        <w:rPr>
          <w:rFonts w:hint="eastAsia" w:ascii="仿宋_GB2312" w:hAnsi="宋体" w:eastAsia="仿宋_GB2312"/>
          <w:sz w:val="28"/>
          <w:szCs w:val="28"/>
        </w:rPr>
        <w:t xml:space="preserve">甲方：           </w:t>
      </w:r>
    </w:p>
    <w:p>
      <w:pPr>
        <w:spacing w:after="0" w:line="560" w:lineRule="exact"/>
        <w:rPr>
          <w:rFonts w:ascii="仿宋_GB2312" w:hAnsi="宋体" w:eastAsia="仿宋_GB2312"/>
          <w:sz w:val="28"/>
          <w:szCs w:val="28"/>
        </w:rPr>
      </w:pPr>
      <w:r>
        <w:rPr>
          <w:rFonts w:hint="eastAsia" w:ascii="仿宋_GB2312" w:hAnsi="宋体" w:eastAsia="仿宋_GB2312"/>
          <w:sz w:val="28"/>
          <w:szCs w:val="28"/>
        </w:rPr>
        <w:t>乙方：</w:t>
      </w:r>
    </w:p>
    <w:p>
      <w:pPr>
        <w:spacing w:after="0"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为了保护甲乙双方合法权益，根据《中华人民共和国政府采购法》、《中华人民共和国民法典》等相关法律、法规的规定，签订本合同，并共同遵守。 </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rPr>
        <w:t>一、合同标的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499"/>
        <w:gridCol w:w="3014"/>
        <w:gridCol w:w="570"/>
        <w:gridCol w:w="570"/>
        <w:gridCol w:w="1134"/>
        <w:gridCol w:w="113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序号</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名称</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规格</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单位</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数量</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单价（元）</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总价（元）</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1</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户外电容补偿柜</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（500Kvar）带电抗器</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台</w:t>
            </w:r>
          </w:p>
        </w:tc>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1</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eastAsia" w:ascii="仿宋_GB2312" w:hAnsi="仿宋" w:eastAsia="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2</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电力电缆</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YJV-4*240+1*120</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米</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10</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eastAsia" w:ascii="仿宋_GB2312" w:hAnsi="仿宋" w:eastAsia="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3</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电力电缆头</w:t>
            </w:r>
          </w:p>
        </w:tc>
        <w:tc>
          <w:tcPr>
            <w:tcW w:w="0" w:type="auto"/>
            <w:noWrap w:val="0"/>
            <w:vAlign w:val="top"/>
          </w:tcPr>
          <w:p>
            <w:pPr>
              <w:spacing w:line="560" w:lineRule="exact"/>
              <w:jc w:val="center"/>
              <w:rPr>
                <w:rFonts w:hint="eastAsia" w:ascii="仿宋_GB2312" w:hAnsi="仿宋" w:eastAsia="仿宋_GB2312"/>
                <w:sz w:val="21"/>
                <w:szCs w:val="21"/>
                <w:vertAlign w:val="baseline"/>
              </w:rPr>
            </w:pPr>
            <w:r>
              <w:rPr>
                <w:rFonts w:hint="eastAsia" w:ascii="仿宋_GB2312" w:hAnsi="仿宋" w:eastAsia="仿宋_GB2312"/>
                <w:sz w:val="21"/>
                <w:szCs w:val="21"/>
                <w:vertAlign w:val="baseline"/>
                <w:lang w:val="en-US" w:eastAsia="zh-CN"/>
              </w:rPr>
              <w:t>4*240+1*120</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套</w:t>
            </w:r>
          </w:p>
        </w:tc>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4</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eastAsia" w:ascii="仿宋_GB2312" w:hAnsi="仿宋" w:eastAsia="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4</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电容补偿柜基础</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基础</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项</w:t>
            </w:r>
          </w:p>
        </w:tc>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1</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eastAsia" w:ascii="仿宋_GB2312" w:hAnsi="仿宋" w:eastAsia="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5</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安装费</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敷设电缆、制作电缆头、补偿柜安装</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项</w:t>
            </w:r>
          </w:p>
        </w:tc>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1</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eastAsia" w:ascii="仿宋_GB2312" w:hAnsi="仿宋" w:eastAsia="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6</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吊车台班</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机械费</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台班</w:t>
            </w:r>
          </w:p>
        </w:tc>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1</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eastAsia" w:ascii="仿宋_GB2312" w:hAnsi="仿宋" w:eastAsia="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7</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送配电系统调试</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送配电系统调试</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项</w:t>
            </w:r>
          </w:p>
        </w:tc>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1</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eastAsia" w:ascii="仿宋_GB2312" w:hAnsi="仿宋" w:eastAsia="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8</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税费</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项</w:t>
            </w:r>
          </w:p>
        </w:tc>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1</w:t>
            </w: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eastAsia" w:ascii="仿宋_GB2312" w:hAnsi="仿宋" w:eastAsia="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560" w:lineRule="exact"/>
              <w:jc w:val="center"/>
              <w:rPr>
                <w:rFonts w:hint="eastAsia" w:ascii="仿宋_GB2312" w:hAnsi="仿宋" w:eastAsia="仿宋_GB2312"/>
                <w:sz w:val="21"/>
                <w:szCs w:val="21"/>
                <w:vertAlign w:val="baseline"/>
                <w:lang w:val="en-US" w:eastAsia="zh-CN"/>
              </w:rPr>
            </w:pPr>
            <w:r>
              <w:rPr>
                <w:rFonts w:hint="eastAsia" w:ascii="仿宋_GB2312" w:hAnsi="仿宋" w:eastAsia="仿宋_GB2312"/>
                <w:sz w:val="21"/>
                <w:szCs w:val="21"/>
                <w:vertAlign w:val="baseline"/>
                <w:lang w:val="en-US" w:eastAsia="zh-CN"/>
              </w:rPr>
              <w:t>9</w:t>
            </w:r>
          </w:p>
        </w:tc>
        <w:tc>
          <w:tcPr>
            <w:tcW w:w="0" w:type="auto"/>
            <w:noWrap w:val="0"/>
            <w:vAlign w:val="top"/>
          </w:tcPr>
          <w:p>
            <w:pPr>
              <w:spacing w:line="560" w:lineRule="exact"/>
              <w:jc w:val="center"/>
              <w:rPr>
                <w:rFonts w:hint="eastAsia" w:ascii="仿宋_GB2312" w:hAnsi="仿宋" w:eastAsia="仿宋_GB2312"/>
                <w:sz w:val="21"/>
                <w:szCs w:val="21"/>
                <w:vertAlign w:val="baseline"/>
                <w:lang w:eastAsia="zh-CN"/>
              </w:rPr>
            </w:pPr>
            <w:r>
              <w:rPr>
                <w:rFonts w:hint="eastAsia" w:ascii="仿宋_GB2312" w:hAnsi="仿宋" w:eastAsia="仿宋_GB2312"/>
                <w:sz w:val="21"/>
                <w:szCs w:val="21"/>
                <w:vertAlign w:val="baseline"/>
                <w:lang w:eastAsia="zh-CN"/>
              </w:rPr>
              <w:t>合计金额（大写）</w:t>
            </w:r>
          </w:p>
        </w:tc>
        <w:tc>
          <w:tcPr>
            <w:tcW w:w="0" w:type="auto"/>
            <w:tcBorders>
              <w:right w:val="nil"/>
            </w:tcBorders>
            <w:noWrap w:val="0"/>
            <w:vAlign w:val="top"/>
          </w:tcPr>
          <w:p>
            <w:pPr>
              <w:spacing w:line="560" w:lineRule="exact"/>
              <w:jc w:val="center"/>
              <w:rPr>
                <w:rFonts w:hint="eastAsia" w:ascii="仿宋_GB2312" w:hAnsi="仿宋" w:eastAsia="仿宋_GB2312"/>
                <w:sz w:val="21"/>
                <w:szCs w:val="21"/>
                <w:vertAlign w:val="baseline"/>
                <w:lang w:eastAsia="zh-CN"/>
              </w:rPr>
            </w:pPr>
          </w:p>
        </w:tc>
        <w:tc>
          <w:tcPr>
            <w:tcW w:w="0" w:type="auto"/>
            <w:tcBorders>
              <w:left w:val="nil"/>
              <w:right w:val="nil"/>
            </w:tcBorders>
            <w:noWrap w:val="0"/>
            <w:vAlign w:val="top"/>
          </w:tcPr>
          <w:p>
            <w:pPr>
              <w:spacing w:line="560" w:lineRule="exact"/>
              <w:jc w:val="center"/>
              <w:rPr>
                <w:rFonts w:hint="eastAsia" w:ascii="仿宋_GB2312" w:hAnsi="仿宋" w:eastAsia="仿宋_GB2312"/>
                <w:sz w:val="21"/>
                <w:szCs w:val="21"/>
                <w:vertAlign w:val="baseline"/>
              </w:rPr>
            </w:pPr>
          </w:p>
        </w:tc>
        <w:tc>
          <w:tcPr>
            <w:tcW w:w="0" w:type="auto"/>
            <w:tcBorders>
              <w:left w:val="nil"/>
              <w:right w:val="nil"/>
            </w:tcBorders>
            <w:noWrap w:val="0"/>
            <w:vAlign w:val="top"/>
          </w:tcPr>
          <w:p>
            <w:pPr>
              <w:spacing w:line="560" w:lineRule="exact"/>
              <w:jc w:val="center"/>
              <w:rPr>
                <w:rFonts w:hint="eastAsia" w:ascii="仿宋_GB2312" w:hAnsi="仿宋" w:eastAsia="仿宋_GB2312"/>
                <w:sz w:val="21"/>
                <w:szCs w:val="21"/>
                <w:vertAlign w:val="baseline"/>
              </w:rPr>
            </w:pPr>
          </w:p>
        </w:tc>
        <w:tc>
          <w:tcPr>
            <w:tcW w:w="0" w:type="auto"/>
            <w:tcBorders>
              <w:left w:val="nil"/>
            </w:tcBorders>
            <w:noWrap w:val="0"/>
            <w:vAlign w:val="top"/>
          </w:tcPr>
          <w:p>
            <w:pPr>
              <w:spacing w:line="560" w:lineRule="exact"/>
              <w:jc w:val="center"/>
              <w:rPr>
                <w:rFonts w:hint="eastAsia" w:ascii="仿宋_GB2312" w:hAnsi="仿宋" w:eastAsia="仿宋_GB2312"/>
                <w:sz w:val="21"/>
                <w:szCs w:val="21"/>
                <w:vertAlign w:val="baseline"/>
              </w:rPr>
            </w:pPr>
          </w:p>
        </w:tc>
        <w:tc>
          <w:tcPr>
            <w:tcW w:w="0" w:type="auto"/>
            <w:noWrap w:val="0"/>
            <w:vAlign w:val="top"/>
          </w:tcPr>
          <w:p>
            <w:pPr>
              <w:spacing w:line="560" w:lineRule="exact"/>
              <w:jc w:val="center"/>
              <w:rPr>
                <w:rFonts w:hint="default" w:ascii="仿宋_GB2312" w:hAnsi="仿宋" w:eastAsia="仿宋_GB2312"/>
                <w:sz w:val="21"/>
                <w:szCs w:val="21"/>
                <w:vertAlign w:val="baseline"/>
                <w:lang w:val="en-US" w:eastAsia="zh-CN"/>
              </w:rPr>
            </w:pPr>
          </w:p>
        </w:tc>
        <w:tc>
          <w:tcPr>
            <w:tcW w:w="0" w:type="auto"/>
            <w:noWrap w:val="0"/>
            <w:vAlign w:val="top"/>
          </w:tcPr>
          <w:p>
            <w:pPr>
              <w:spacing w:line="560" w:lineRule="exact"/>
              <w:jc w:val="center"/>
              <w:rPr>
                <w:rFonts w:hint="eastAsia" w:ascii="仿宋_GB2312" w:hAnsi="仿宋" w:eastAsia="仿宋_GB2312"/>
                <w:sz w:val="21"/>
                <w:szCs w:val="21"/>
                <w:vertAlign w:val="baseline"/>
              </w:rPr>
            </w:pPr>
          </w:p>
        </w:tc>
      </w:tr>
    </w:tbl>
    <w:p>
      <w:pPr>
        <w:spacing w:after="0" w:line="560" w:lineRule="exact"/>
        <w:rPr>
          <w:rFonts w:ascii="仿宋_GB2312" w:hAnsi="宋体" w:eastAsia="仿宋_GB2312"/>
          <w:sz w:val="28"/>
          <w:szCs w:val="28"/>
        </w:rPr>
      </w:pP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rPr>
        <w:t>二、合同金额</w:t>
      </w:r>
    </w:p>
    <w:p>
      <w:pPr>
        <w:spacing w:after="0"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合同金额人民币（大写）：</w:t>
      </w:r>
      <w:r>
        <w:rPr>
          <w:rFonts w:hint="eastAsia" w:ascii="仿宋_GB2312" w:hAnsi="宋体" w:eastAsia="仿宋_GB2312"/>
          <w:color w:val="FF0000"/>
          <w:sz w:val="28"/>
          <w:szCs w:val="28"/>
        </w:rPr>
        <w:t>xxxx元（XXXXX元），本合同总金额为乙方按合同约定完成合同全部内容后适用的含税总价格。</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rPr>
        <w:t>三、项目内容</w:t>
      </w:r>
    </w:p>
    <w:p>
      <w:pPr>
        <w:pStyle w:val="14"/>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项目包括将原电容补偿柜拆除，运送至指定地点存放</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并将新电容补偿柜安装调试好</w:t>
      </w:r>
      <w:r>
        <w:rPr>
          <w:rFonts w:hint="eastAsia" w:ascii="仿宋_GB2312" w:hAnsi="仿宋_GB2312" w:eastAsia="仿宋_GB2312" w:cs="仿宋_GB2312"/>
          <w:sz w:val="28"/>
          <w:szCs w:val="28"/>
        </w:rPr>
        <w:t>。</w:t>
      </w:r>
    </w:p>
    <w:p>
      <w:pPr>
        <w:spacing w:after="0" w:line="560" w:lineRule="exact"/>
        <w:ind w:firstLine="562" w:firstLineChars="200"/>
        <w:rPr>
          <w:rFonts w:hint="eastAsia" w:ascii="仿宋_GB2312" w:hAnsi="黑体" w:eastAsia="仿宋_GB2312" w:cs="楷体"/>
          <w:b/>
          <w:sz w:val="28"/>
          <w:szCs w:val="28"/>
        </w:rPr>
      </w:pPr>
      <w:r>
        <w:rPr>
          <w:rFonts w:hint="eastAsia" w:ascii="仿宋_GB2312" w:hAnsi="黑体" w:eastAsia="仿宋_GB2312" w:cs="楷体"/>
          <w:b/>
          <w:sz w:val="28"/>
          <w:szCs w:val="28"/>
        </w:rPr>
        <w:t>四、质量保证及售后服务</w:t>
      </w:r>
    </w:p>
    <w:p>
      <w:pPr>
        <w:pStyle w:val="14"/>
        <w:widowControl/>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1、乙方保证合同设备是全新、未曾使用过的。到货时须提供原厂供货证明、原厂售后承诺书。</w:t>
      </w:r>
    </w:p>
    <w:p>
      <w:pPr>
        <w:pStyle w:val="14"/>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合同设备除了用户有特别规定外,保质保用期按生产厂家的标准执行，但不得少于一年（项目验收合格之日起计算）。保质保用期内非人为原因而出现产品质量及安装问题，由乙方负责包修、包换或包退，并承担因此而产生的一切费用。乙方应在质保期内提供免费上门维修服务，并进行终身维护。</w:t>
      </w:r>
    </w:p>
    <w:p>
      <w:pPr>
        <w:pStyle w:val="14"/>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设备故障报修的响应时间为1小时，并保证在4小时内排除设备故障，并提供终身的技术支持服务。如果设备故障在检修4小时后仍无法排除，乙方应在48小时内提供不低于故障设备档次及性能的备用设备供用户方使用，直至故障设备修复，否则，一切后果由乙方负责。</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五、</w:t>
      </w:r>
      <w:r>
        <w:rPr>
          <w:rFonts w:hint="eastAsia" w:ascii="仿宋_GB2312" w:hAnsi="黑体" w:eastAsia="仿宋_GB2312" w:cs="楷体"/>
          <w:b/>
          <w:sz w:val="28"/>
          <w:szCs w:val="28"/>
        </w:rPr>
        <w:t>安全责任</w:t>
      </w:r>
    </w:p>
    <w:p>
      <w:pPr>
        <w:pStyle w:val="14"/>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乙方必须严格遵守施工规范要求，做好安全防护措施，确保施工过程中的安全。出现安全事故由中标人负全责，甲方不负任何责任和费用。</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六</w:t>
      </w:r>
      <w:r>
        <w:rPr>
          <w:rFonts w:hint="eastAsia" w:ascii="仿宋_GB2312" w:hAnsi="黑体" w:eastAsia="仿宋_GB2312" w:cs="楷体"/>
          <w:b/>
          <w:sz w:val="28"/>
          <w:szCs w:val="28"/>
        </w:rPr>
        <w:t>、违约责任</w:t>
      </w:r>
    </w:p>
    <w:p>
      <w:pPr>
        <w:spacing w:after="0" w:line="360" w:lineRule="auto"/>
        <w:ind w:firstLine="560" w:firstLineChars="200"/>
        <w:rPr>
          <w:rFonts w:ascii="仿宋_GB2312" w:eastAsia="仿宋_GB2312"/>
          <w:sz w:val="28"/>
          <w:szCs w:val="28"/>
        </w:rPr>
      </w:pPr>
      <w:r>
        <w:rPr>
          <w:rFonts w:hint="eastAsia" w:ascii="仿宋_GB2312" w:eastAsia="仿宋_GB2312"/>
          <w:sz w:val="28"/>
          <w:szCs w:val="28"/>
        </w:rPr>
        <w:t>违约责任按《中华人民共和国民法典》处理。</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七</w:t>
      </w:r>
      <w:r>
        <w:rPr>
          <w:rFonts w:hint="eastAsia" w:ascii="仿宋_GB2312" w:hAnsi="黑体" w:eastAsia="仿宋_GB2312" w:cs="楷体"/>
          <w:b/>
          <w:sz w:val="28"/>
          <w:szCs w:val="28"/>
        </w:rPr>
        <w:t>、验收和付款方式</w:t>
      </w:r>
    </w:p>
    <w:p>
      <w:pPr>
        <w:pStyle w:val="14"/>
        <w:widowControl/>
        <w:numPr>
          <w:ilvl w:val="0"/>
          <w:numId w:val="1"/>
        </w:num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验收</w:t>
      </w:r>
    </w:p>
    <w:p>
      <w:pPr>
        <w:pStyle w:val="14"/>
        <w:widowControl/>
        <w:spacing w:line="560" w:lineRule="exact"/>
        <w:ind w:firstLine="560" w:firstLineChars="200"/>
        <w:rPr>
          <w:rFonts w:ascii="仿宋_GB2312" w:eastAsia="仿宋_GB2312"/>
          <w:sz w:val="28"/>
          <w:szCs w:val="28"/>
        </w:rPr>
      </w:pPr>
      <w:r>
        <w:rPr>
          <w:rFonts w:hint="eastAsia" w:ascii="仿宋_GB2312" w:eastAsia="仿宋_GB2312"/>
          <w:sz w:val="28"/>
          <w:szCs w:val="28"/>
        </w:rPr>
        <w:t>乙方应按本合同约定</w:t>
      </w:r>
      <w:r>
        <w:rPr>
          <w:rFonts w:hint="eastAsia" w:ascii="仿宋_GB2312" w:eastAsia="仿宋_GB2312"/>
          <w:sz w:val="28"/>
          <w:szCs w:val="28"/>
          <w:lang w:val="en-US" w:eastAsia="zh-CN"/>
        </w:rPr>
        <w:t>完成设备的安装调试，正常运行7天后，</w:t>
      </w:r>
      <w:r>
        <w:rPr>
          <w:rFonts w:hint="eastAsia" w:ascii="仿宋_GB2312" w:eastAsia="仿宋_GB2312"/>
          <w:sz w:val="28"/>
          <w:szCs w:val="28"/>
        </w:rPr>
        <w:t>按本合同约定组织验收。</w:t>
      </w:r>
    </w:p>
    <w:p>
      <w:pPr>
        <w:pStyle w:val="14"/>
        <w:widowControl/>
        <w:spacing w:line="560" w:lineRule="exact"/>
        <w:ind w:left="566"/>
        <w:rPr>
          <w:rFonts w:ascii="仿宋_GB2312" w:eastAsia="仿宋_GB2312"/>
          <w:b/>
          <w:sz w:val="28"/>
          <w:szCs w:val="28"/>
        </w:rPr>
      </w:pPr>
      <w:r>
        <w:rPr>
          <w:rFonts w:hint="eastAsia" w:ascii="仿宋_GB2312" w:eastAsia="仿宋_GB2312"/>
          <w:b/>
          <w:sz w:val="28"/>
          <w:szCs w:val="28"/>
        </w:rPr>
        <w:t>（二）付款</w:t>
      </w:r>
    </w:p>
    <w:p>
      <w:pPr>
        <w:pStyle w:val="14"/>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1、项目验收合格后，乙方开具合同金额的符合甲方财务管理要求的相应发票，经甲方确认无误后，10个工作日内，甲方办理付款手续，向乙方支付费用。</w:t>
      </w:r>
    </w:p>
    <w:p>
      <w:pPr>
        <w:pStyle w:val="14"/>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2、付款期限自收到乙方开具的发票之日起计算，具体到帐期限以财政拨付实际到帐为准。付款方式为银行转账。</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八</w:t>
      </w:r>
      <w:r>
        <w:rPr>
          <w:rFonts w:hint="eastAsia" w:ascii="仿宋_GB2312" w:hAnsi="黑体" w:eastAsia="仿宋_GB2312" w:cs="楷体"/>
          <w:b/>
          <w:sz w:val="28"/>
          <w:szCs w:val="28"/>
        </w:rPr>
        <w:t>、争议处理</w:t>
      </w:r>
    </w:p>
    <w:p>
      <w:pPr>
        <w:spacing w:after="0" w:line="560" w:lineRule="exact"/>
        <w:ind w:firstLine="560" w:firstLineChars="200"/>
        <w:rPr>
          <w:rFonts w:ascii="仿宋_GB2312" w:hAnsi="仿宋_GB2312" w:eastAsia="仿宋_GB2312" w:cs="仿宋_GB2312"/>
          <w:sz w:val="28"/>
          <w:szCs w:val="28"/>
        </w:rPr>
      </w:pPr>
      <w:r>
        <w:rPr>
          <w:rFonts w:hint="eastAsia" w:ascii="仿宋_GB2312" w:hAnsi="仿宋" w:eastAsia="仿宋_GB2312"/>
          <w:sz w:val="28"/>
          <w:szCs w:val="28"/>
        </w:rPr>
        <w:t>因本合同引起的争议，甲乙双方应首先通过友好协商解决，如果协商或调解不能解决争议，则按相关法律法规处理。</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九</w:t>
      </w:r>
      <w:r>
        <w:rPr>
          <w:rFonts w:hint="eastAsia" w:ascii="仿宋_GB2312" w:hAnsi="黑体" w:eastAsia="仿宋_GB2312" w:cs="楷体"/>
          <w:b/>
          <w:sz w:val="28"/>
          <w:szCs w:val="28"/>
        </w:rPr>
        <w:t>、其他</w:t>
      </w:r>
    </w:p>
    <w:p>
      <w:pPr>
        <w:pStyle w:val="14"/>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（一）、本合同一式肆份，均为正本,具有同等法律效力,甲方叁份，乙方一份。</w:t>
      </w:r>
    </w:p>
    <w:p>
      <w:pPr>
        <w:pStyle w:val="14"/>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（二）、本合同需双方签字并盖章后生效，合同内容如遇国家、法规及政策另行有规定的，从其规定。 </w:t>
      </w:r>
    </w:p>
    <w:tbl>
      <w:tblPr>
        <w:tblStyle w:val="6"/>
        <w:tblW w:w="11188" w:type="dxa"/>
        <w:tblCellSpacing w:w="15" w:type="dxa"/>
        <w:tblInd w:w="-717" w:type="dxa"/>
        <w:tblLayout w:type="autofit"/>
        <w:tblCellMar>
          <w:top w:w="15" w:type="dxa"/>
          <w:left w:w="15" w:type="dxa"/>
          <w:bottom w:w="15" w:type="dxa"/>
          <w:right w:w="15" w:type="dxa"/>
        </w:tblCellMar>
      </w:tblPr>
      <w:tblGrid>
        <w:gridCol w:w="5432"/>
        <w:gridCol w:w="5756"/>
      </w:tblGrid>
      <w:tr>
        <w:tblPrEx>
          <w:tblCellMar>
            <w:top w:w="15" w:type="dxa"/>
            <w:left w:w="15" w:type="dxa"/>
            <w:bottom w:w="15" w:type="dxa"/>
            <w:right w:w="15" w:type="dxa"/>
          </w:tblCellMar>
        </w:tblPrEx>
        <w:trPr>
          <w:trHeight w:val="314"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甲方（公章）： </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 xml:space="preserve">乙方（公章）： </w:t>
            </w:r>
          </w:p>
        </w:tc>
      </w:tr>
      <w:tr>
        <w:tblPrEx>
          <w:tblCellMar>
            <w:top w:w="15" w:type="dxa"/>
            <w:left w:w="15" w:type="dxa"/>
            <w:bottom w:w="15" w:type="dxa"/>
            <w:right w:w="15" w:type="dxa"/>
          </w:tblCellMar>
        </w:tblPrEx>
        <w:trPr>
          <w:trHeight w:val="305"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甲方代表（签章）: </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 xml:space="preserve">乙方代表（签章）: </w:t>
            </w:r>
          </w:p>
        </w:tc>
      </w:tr>
      <w:tr>
        <w:tblPrEx>
          <w:tblCellMar>
            <w:top w:w="15" w:type="dxa"/>
            <w:left w:w="15" w:type="dxa"/>
            <w:bottom w:w="15" w:type="dxa"/>
            <w:right w:w="15" w:type="dxa"/>
          </w:tblCellMar>
        </w:tblPrEx>
        <w:trPr>
          <w:trHeight w:val="298"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电话：</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电话：</w:t>
            </w:r>
          </w:p>
        </w:tc>
      </w:tr>
      <w:tr>
        <w:tblPrEx>
          <w:tblCellMar>
            <w:top w:w="15" w:type="dxa"/>
            <w:left w:w="15" w:type="dxa"/>
            <w:bottom w:w="15" w:type="dxa"/>
            <w:right w:w="15" w:type="dxa"/>
          </w:tblCellMar>
        </w:tblPrEx>
        <w:trPr>
          <w:trHeight w:val="556"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日期：</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日期：</w:t>
            </w:r>
          </w:p>
        </w:tc>
      </w:tr>
    </w:tbl>
    <w:p>
      <w:pPr>
        <w:rPr>
          <w:rFonts w:ascii="仿宋_GB2312" w:eastAsia="仿宋_GB2312"/>
          <w:sz w:val="28"/>
          <w:szCs w:val="28"/>
        </w:rPr>
      </w:pPr>
    </w:p>
    <w:sectPr>
      <w:footerReference r:id="rId3" w:type="default"/>
      <w:pgSz w:w="11906" w:h="16838"/>
      <w:pgMar w:top="1985" w:right="1531" w:bottom="1843" w:left="1531" w:header="0" w:footer="18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heme="majorHAnsi" w:hAnsiTheme="majorHAnsi" w:eastAsiaTheme="majorEastAsia" w:cstheme="majorBidi"/>
        <w:sz w:val="28"/>
        <w:szCs w:val="28"/>
        <w:lang w:val="zh-CN"/>
      </w:rPr>
      <w:t xml:space="preserve">~ </w:t>
    </w:r>
    <w:r>
      <w:rPr>
        <w:rFonts w:asciiTheme="minorHAnsi" w:hAnsiTheme="minorHAnsi" w:eastAsiaTheme="minorEastAsia"/>
        <w:sz w:val="22"/>
        <w:szCs w:val="22"/>
      </w:rPr>
      <w:fldChar w:fldCharType="begin"/>
    </w:r>
    <w:r>
      <w:instrText xml:space="preserve">PAGE    \* MERGEFORMAT</w:instrText>
    </w:r>
    <w:r>
      <w:rPr>
        <w:rFonts w:asciiTheme="minorHAnsi" w:hAnsiTheme="minorHAnsi" w:eastAsiaTheme="minorEastAsia"/>
        <w:sz w:val="22"/>
        <w:szCs w:val="22"/>
      </w:rPr>
      <w:fldChar w:fldCharType="separate"/>
    </w:r>
    <w:r>
      <w:rPr>
        <w:rFonts w:asciiTheme="majorHAnsi" w:hAnsiTheme="majorHAnsi" w:eastAsiaTheme="majorEastAsia" w:cstheme="majorBidi"/>
        <w:sz w:val="28"/>
        <w:szCs w:val="28"/>
        <w:lang w:val="zh-CN"/>
      </w:rPr>
      <w:t>2</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061BE"/>
    <w:multiLevelType w:val="multilevel"/>
    <w:tmpl w:val="3AE061BE"/>
    <w:lvl w:ilvl="0" w:tentative="0">
      <w:start w:val="1"/>
      <w:numFmt w:val="japaneseCounting"/>
      <w:lvlText w:val="（%1）"/>
      <w:lvlJc w:val="left"/>
      <w:pPr>
        <w:ind w:left="1435" w:hanging="885"/>
      </w:pPr>
      <w:rPr>
        <w:rFonts w:hint="default"/>
      </w:rPr>
    </w:lvl>
    <w:lvl w:ilvl="1" w:tentative="0">
      <w:start w:val="1"/>
      <w:numFmt w:val="lowerLetter"/>
      <w:lvlText w:val="%2)"/>
      <w:lvlJc w:val="left"/>
      <w:pPr>
        <w:ind w:left="1390" w:hanging="420"/>
      </w:pPr>
    </w:lvl>
    <w:lvl w:ilvl="2" w:tentative="0">
      <w:start w:val="1"/>
      <w:numFmt w:val="lowerRoman"/>
      <w:lvlText w:val="%3."/>
      <w:lvlJc w:val="right"/>
      <w:pPr>
        <w:ind w:left="1810" w:hanging="420"/>
      </w:pPr>
    </w:lvl>
    <w:lvl w:ilvl="3" w:tentative="0">
      <w:start w:val="1"/>
      <w:numFmt w:val="decimal"/>
      <w:lvlText w:val="%4."/>
      <w:lvlJc w:val="left"/>
      <w:pPr>
        <w:ind w:left="2230" w:hanging="420"/>
      </w:pPr>
    </w:lvl>
    <w:lvl w:ilvl="4" w:tentative="0">
      <w:start w:val="1"/>
      <w:numFmt w:val="lowerLetter"/>
      <w:lvlText w:val="%5)"/>
      <w:lvlJc w:val="left"/>
      <w:pPr>
        <w:ind w:left="2650" w:hanging="420"/>
      </w:pPr>
    </w:lvl>
    <w:lvl w:ilvl="5" w:tentative="0">
      <w:start w:val="1"/>
      <w:numFmt w:val="lowerRoman"/>
      <w:lvlText w:val="%6."/>
      <w:lvlJc w:val="right"/>
      <w:pPr>
        <w:ind w:left="3070" w:hanging="420"/>
      </w:pPr>
    </w:lvl>
    <w:lvl w:ilvl="6" w:tentative="0">
      <w:start w:val="1"/>
      <w:numFmt w:val="decimal"/>
      <w:lvlText w:val="%7."/>
      <w:lvlJc w:val="left"/>
      <w:pPr>
        <w:ind w:left="3490" w:hanging="420"/>
      </w:pPr>
    </w:lvl>
    <w:lvl w:ilvl="7" w:tentative="0">
      <w:start w:val="1"/>
      <w:numFmt w:val="lowerLetter"/>
      <w:lvlText w:val="%8)"/>
      <w:lvlJc w:val="left"/>
      <w:pPr>
        <w:ind w:left="3910" w:hanging="420"/>
      </w:pPr>
    </w:lvl>
    <w:lvl w:ilvl="8" w:tentative="0">
      <w:start w:val="1"/>
      <w:numFmt w:val="lowerRoman"/>
      <w:lvlText w:val="%9."/>
      <w:lvlJc w:val="right"/>
      <w:pPr>
        <w:ind w:left="43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3E38"/>
    <w:rsid w:val="000505A3"/>
    <w:rsid w:val="000516E2"/>
    <w:rsid w:val="00120FA3"/>
    <w:rsid w:val="001F1DF0"/>
    <w:rsid w:val="001F219D"/>
    <w:rsid w:val="00351439"/>
    <w:rsid w:val="003776E1"/>
    <w:rsid w:val="003A50C8"/>
    <w:rsid w:val="004951BC"/>
    <w:rsid w:val="004C26B0"/>
    <w:rsid w:val="004E057D"/>
    <w:rsid w:val="0057541F"/>
    <w:rsid w:val="0058713B"/>
    <w:rsid w:val="0066564B"/>
    <w:rsid w:val="00797BAB"/>
    <w:rsid w:val="007D3E38"/>
    <w:rsid w:val="008248F9"/>
    <w:rsid w:val="00875020"/>
    <w:rsid w:val="008F7D54"/>
    <w:rsid w:val="00905CE6"/>
    <w:rsid w:val="00A04810"/>
    <w:rsid w:val="00A85D24"/>
    <w:rsid w:val="00AB4B7C"/>
    <w:rsid w:val="00B27329"/>
    <w:rsid w:val="00B774DF"/>
    <w:rsid w:val="00C04B91"/>
    <w:rsid w:val="00C270B9"/>
    <w:rsid w:val="00D023C0"/>
    <w:rsid w:val="00D45772"/>
    <w:rsid w:val="00D5397F"/>
    <w:rsid w:val="00DF633D"/>
    <w:rsid w:val="00E43E97"/>
    <w:rsid w:val="00E51930"/>
    <w:rsid w:val="00EA49F8"/>
    <w:rsid w:val="00EB404C"/>
    <w:rsid w:val="00F22F80"/>
    <w:rsid w:val="00F24549"/>
    <w:rsid w:val="00F61468"/>
    <w:rsid w:val="0D2C4914"/>
    <w:rsid w:val="1465183E"/>
    <w:rsid w:val="25A47C9E"/>
    <w:rsid w:val="39252BA3"/>
    <w:rsid w:val="4C9E594E"/>
    <w:rsid w:val="4DD00CF3"/>
    <w:rsid w:val="54E62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9"/>
    <w:qFormat/>
    <w:uiPriority w:val="0"/>
    <w:pPr>
      <w:keepNext/>
      <w:keepLines/>
      <w:widowControl w:val="0"/>
      <w:adjustRightInd/>
      <w:snapToGrid/>
      <w:spacing w:after="0" w:line="360" w:lineRule="auto"/>
      <w:jc w:val="both"/>
      <w:outlineLvl w:val="0"/>
    </w:pPr>
    <w:rPr>
      <w:rFonts w:asciiTheme="minorHAnsi" w:hAnsiTheme="minorHAnsi" w:eastAsiaTheme="minorEastAsia"/>
      <w:b/>
      <w:bCs/>
      <w:kern w:val="44"/>
      <w:sz w:val="30"/>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widowControl w:val="0"/>
      <w:adjustRightInd/>
      <w:snapToGrid/>
      <w:spacing w:after="120" w:line="360" w:lineRule="auto"/>
      <w:jc w:val="both"/>
    </w:pPr>
    <w:rPr>
      <w:rFonts w:ascii="Times New Roman" w:hAnsi="Times New Roman" w:eastAsia="宋体" w:cs="Times New Roman"/>
      <w:kern w:val="2"/>
      <w:sz w:val="28"/>
    </w:rPr>
  </w:style>
  <w:style w:type="paragraph" w:styleId="4">
    <w:name w:val="footer"/>
    <w:basedOn w:val="1"/>
    <w:link w:val="12"/>
    <w:qFormat/>
    <w:uiPriority w:val="0"/>
    <w:pPr>
      <w:tabs>
        <w:tab w:val="center" w:pos="4153"/>
        <w:tab w:val="right" w:pos="8306"/>
      </w:tabs>
    </w:pPr>
    <w:rPr>
      <w:sz w:val="18"/>
      <w:szCs w:val="18"/>
    </w:rPr>
  </w:style>
  <w:style w:type="paragraph" w:styleId="5">
    <w:name w:val="header"/>
    <w:basedOn w:val="1"/>
    <w:link w:val="11"/>
    <w:qFormat/>
    <w:uiPriority w:val="0"/>
    <w:pPr>
      <w:pBdr>
        <w:bottom w:val="single" w:color="auto" w:sz="6" w:space="1"/>
      </w:pBdr>
      <w:tabs>
        <w:tab w:val="center" w:pos="4153"/>
        <w:tab w:val="right" w:pos="8306"/>
      </w:tabs>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0"/>
    <w:rPr>
      <w:rFonts w:ascii="Tahoma" w:hAnsi="Tahoma" w:eastAsia="微软雅黑"/>
      <w:sz w:val="18"/>
      <w:szCs w:val="18"/>
    </w:rPr>
  </w:style>
  <w:style w:type="character" w:customStyle="1" w:styleId="12">
    <w:name w:val="页脚 Char"/>
    <w:basedOn w:val="8"/>
    <w:link w:val="4"/>
    <w:qFormat/>
    <w:uiPriority w:val="0"/>
    <w:rPr>
      <w:rFonts w:ascii="Tahoma" w:hAnsi="Tahoma" w:eastAsia="微软雅黑"/>
      <w:sz w:val="18"/>
      <w:szCs w:val="18"/>
    </w:rPr>
  </w:style>
  <w:style w:type="character" w:customStyle="1" w:styleId="13">
    <w:name w:val="正文文本 Char"/>
    <w:basedOn w:val="8"/>
    <w:link w:val="3"/>
    <w:qFormat/>
    <w:uiPriority w:val="0"/>
    <w:rPr>
      <w:rFonts w:ascii="Times New Roman" w:hAnsi="Times New Roman" w:eastAsia="宋体" w:cs="Times New Roman"/>
      <w:kern w:val="2"/>
      <w:sz w:val="28"/>
      <w:szCs w:val="22"/>
    </w:rPr>
  </w:style>
  <w:style w:type="paragraph" w:customStyle="1" w:styleId="14">
    <w:name w:val="正文 New New New New New"/>
    <w:basedOn w:val="1"/>
    <w:qFormat/>
    <w:uiPriority w:val="0"/>
    <w:pPr>
      <w:widowControl w:val="0"/>
      <w:adjustRightInd/>
      <w:snapToGrid/>
      <w:spacing w:after="0"/>
      <w:jc w:val="both"/>
    </w:pPr>
    <w:rPr>
      <w:rFonts w:ascii="Calibri" w:hAnsi="Calibri" w:eastAsia="宋体" w:cs="Times New Roman"/>
      <w:kern w:val="2"/>
      <w:sz w:val="21"/>
      <w:szCs w:val="21"/>
    </w:rPr>
  </w:style>
  <w:style w:type="paragraph" w:customStyle="1" w:styleId="15">
    <w:name w:val="正文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一级标题"/>
    <w:basedOn w:val="1"/>
    <w:qFormat/>
    <w:uiPriority w:val="0"/>
    <w:pPr>
      <w:widowControl w:val="0"/>
      <w:adjustRightInd/>
      <w:snapToGrid/>
      <w:spacing w:after="0"/>
      <w:outlineLvl w:val="0"/>
    </w:pPr>
    <w:rPr>
      <w:rFonts w:ascii="黑体" w:hAnsi="宋体" w:eastAsia="黑体" w:cs="Times New Roman"/>
      <w:kern w:val="2"/>
      <w:sz w:val="30"/>
      <w:szCs w:val="30"/>
    </w:rPr>
  </w:style>
  <w:style w:type="paragraph" w:customStyle="1" w:styleId="17">
    <w:name w:val="三级标题"/>
    <w:basedOn w:val="1"/>
    <w:qFormat/>
    <w:uiPriority w:val="0"/>
    <w:pPr>
      <w:widowControl w:val="0"/>
      <w:adjustRightInd/>
      <w:snapToGrid/>
      <w:spacing w:after="0"/>
      <w:outlineLvl w:val="2"/>
    </w:pPr>
    <w:rPr>
      <w:rFonts w:ascii="仿宋_GB2312" w:hAnsi="仿宋_GB2312" w:eastAsia="宋体" w:cs="Times New Roman"/>
      <w:b/>
      <w:kern w:val="2"/>
      <w:sz w:val="28"/>
      <w:szCs w:val="28"/>
    </w:rPr>
  </w:style>
  <w:style w:type="paragraph" w:customStyle="1" w:styleId="18">
    <w:name w:val="立项正文"/>
    <w:basedOn w:val="1"/>
    <w:qFormat/>
    <w:uiPriority w:val="0"/>
    <w:pPr>
      <w:widowControl w:val="0"/>
      <w:adjustRightInd/>
      <w:spacing w:after="0"/>
      <w:ind w:firstLine="480"/>
    </w:pPr>
    <w:rPr>
      <w:rFonts w:ascii="Times New Roman" w:hAnsi="Times New Roman" w:eastAsia="宋体" w:cs="宋体"/>
      <w:color w:val="000000"/>
      <w:sz w:val="24"/>
      <w:szCs w:val="24"/>
    </w:rPr>
  </w:style>
  <w:style w:type="character" w:customStyle="1" w:styleId="19">
    <w:name w:val="标题 1 Char"/>
    <w:basedOn w:val="8"/>
    <w:link w:val="2"/>
    <w:qFormat/>
    <w:uiPriority w:val="0"/>
    <w:rPr>
      <w:b/>
      <w:bCs/>
      <w:kern w:val="44"/>
      <w:sz w:val="30"/>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1459</Characters>
  <Lines>12</Lines>
  <Paragraphs>3</Paragraphs>
  <TotalTime>5</TotalTime>
  <ScaleCrop>false</ScaleCrop>
  <LinksUpToDate>false</LinksUpToDate>
  <CharactersWithSpaces>1711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2023-07-07T08:07:00Z</dcterms:created>
  <dc:creator>MZBG</dc:creator>
  <cp:lastModifiedBy>张奕翔 </cp:lastModifiedBy>
  <dcterms:modified xsi:type="dcterms:W3CDTF">2024-12-10T07:59:58Z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3FBCFF635E9E4C13A7A515F87E7B6CC3</vt:lpwstr>
  </property>
</Properties>
</file>